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60" w:rsidRDefault="002E6B60" w:rsidP="002E6B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ЗАО «ПАТРИОТ-Сервис» в 2013 году</w:t>
      </w:r>
    </w:p>
    <w:p w:rsidR="002E6B60" w:rsidRDefault="002E6B60" w:rsidP="002E6B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E6B60" w:rsidRDefault="002E6B60" w:rsidP="002E6B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Жилой дом Еременко 101 </w:t>
      </w:r>
    </w:p>
    <w:p w:rsidR="002E6B60" w:rsidRDefault="002E6B60" w:rsidP="002E6B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E6B60" w:rsidRDefault="002E6B60" w:rsidP="002E6B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 в эксплуатацию 2012 году, принят в управление ЗАО «ПАТРИОТ-Сервис»  на основании договора с  ТСЖ «Левенцовское 4».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площадь дома – 36939,3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18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подъездов-7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 - 548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Площадь дворовой территори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уборочная) – 18902,2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2E6B60" w:rsidRDefault="002E6B60" w:rsidP="002E6B60">
      <w:pPr>
        <w:suppressAutoHyphens/>
        <w:spacing w:after="0" w:line="240" w:lineRule="auto"/>
        <w:ind w:firstLine="9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Обеспечение жилых домов теплом и горячим водоснабжением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Отопление и горячее водоснабжение осуществляется в жилых помещениях индивидуальным тепловым пунктом, в нежилых помещениях, расположенных на первых этажах домов - индивидуальным тепловым пунктом. Обе тепловые системы независимы и имеют раздельные узлы учета.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отопления и горячего водоснабжения закрытого типа, означает, что подогрев воды осуществляется в тепловых пунктах дома через теплообменники.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Теплоноситель в дом поставляет ООО «Лукойл ТТК», с которым заключен договор №6003 от 20.04.2010 года на подачу теплоносителя. Стоимость 1 Гкал тепловой энергии определяет Региональная служба по тарифам. Стоимость горячей воды определяется по утвержденной методике, при этом затраты тепла на нагрев 1 куб. метра воды определено нормативным актом администрации города Ростова-на-Дону.  Стоимость 1 Гкал указана на сайте Общества.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Обществе разработан порядок расчетов для жильцов отопления и горячего водоснабжения в соответствии с действующим законодательством, который размещен на сайте Общества.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Особое внимание руководством Общества уделяется экономичности работы системы отопления. Показатели расхода тепловой энергии на отопление и горячее водоснабжение раздельно указывается в ежемесячном платежном документе.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Кроме того, показатели работы тепловых пунктов по жилым помещениям опубликовываются на сайте Общества и на форуме жителей  Западные Ворота в разделе Информация от УК.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3660"/>
        <w:gridCol w:w="1880"/>
        <w:gridCol w:w="1420"/>
      </w:tblGrid>
      <w:tr w:rsidR="002E6B60" w:rsidTr="002E6B60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ЛУКОЙЛ-ТТК, Гкал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Начислено, жильцам</w:t>
            </w:r>
          </w:p>
        </w:tc>
      </w:tr>
      <w:tr w:rsidR="002E6B60" w:rsidTr="002E6B60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ГВС, Гкал</w:t>
            </w:r>
          </w:p>
        </w:tc>
      </w:tr>
      <w:tr w:rsidR="002E6B60" w:rsidTr="002E6B6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B60" w:rsidTr="002E6B6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</w:tr>
      <w:tr w:rsidR="002E6B60" w:rsidTr="002E6B6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</w:tr>
      <w:tr w:rsidR="002E6B60" w:rsidTr="002E6B6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</w:tr>
      <w:tr w:rsidR="002E6B60" w:rsidTr="002E6B6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</w:t>
            </w:r>
          </w:p>
        </w:tc>
      </w:tr>
      <w:tr w:rsidR="002E6B60" w:rsidTr="002E6B6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</w:t>
            </w:r>
          </w:p>
        </w:tc>
      </w:tr>
      <w:tr w:rsidR="002E6B60" w:rsidTr="002E6B60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37,66</w:t>
            </w:r>
          </w:p>
        </w:tc>
      </w:tr>
      <w:tr w:rsidR="002E6B60" w:rsidTr="002E6B6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54,41</w:t>
            </w:r>
          </w:p>
        </w:tc>
      </w:tr>
      <w:tr w:rsidR="002E6B60" w:rsidTr="002E6B6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52,16</w:t>
            </w:r>
          </w:p>
        </w:tc>
      </w:tr>
      <w:tr w:rsidR="002E6B60" w:rsidTr="002E6B6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52,53</w:t>
            </w:r>
          </w:p>
        </w:tc>
      </w:tr>
      <w:tr w:rsidR="002E6B60" w:rsidTr="002E6B6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2 611,80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6B60" w:rsidRDefault="002E6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283,21</w:t>
            </w:r>
          </w:p>
        </w:tc>
      </w:tr>
    </w:tbl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2013 году основные недостатки в обеспечении граждан коммунальными услугами связаны с горячим водоснабжением и качеством подаваемой горячей воды. 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Причинами являются: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Нарушение циркуляции ГВС из-за завоздушенности системы,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что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как правило связано как с конструктивными недостатки отдельных частей системы ГВС, так и с малым количеством потребителей. Все обращения жителей рассматривались и принимались меры. Так в отдельных стояках системы ГВС силами работников Общества были частично изменены схемы подачи ГВС для улучшения циркуляции. 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Большое количество жалоб жильцов было на качество горячей воды, что может быть вызвано загрязнением подаваемой воды в дома из-за частых отключений, врезки новых домов и перекладки трубопроводов. 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Значительные потери Общество несет в летний период, когда отсутствует теплоснабжение. Расход тепловой энергии на потребленную горячую воду (объем воды, которую люди показывают при сдаче показаний за месяц) значительно (в 2 раза) ниже общего расхода тепловой энергии, поступившей в дом по общедомовому узлу учета. </w:t>
      </w:r>
    </w:p>
    <w:p w:rsidR="002E6B60" w:rsidRDefault="002E6B60" w:rsidP="002E6B60">
      <w:pPr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Так в 2013 году это превышение составило 155 Гкал, убыток Общества составил 191 171 руб. Оплата производилась из прибыли Общества.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Водоснабжение обеспечивается водяной насосной станцией, расположенной в подвальном помещении дома в специально отведенном утепленном помещении. В доме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 ОАО «ПО Водоканал» заключен договор №12792 от 01.04.2010 года на водоснабжение и водоотведение. Стоимость одного куб. метра очищенной холодной воды и водоотведения устанавливается решением Региональной службы по тарифам. Тарифы на 2013 год размещены на сайте Общества.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за потребленную воду производится по индивидуальным (квартирным) приборам учета, расположенным в каждой квартире, и по общедомовому узлу учета «Взлет», расположенному в колодце на входе водовода в дом.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действующем законодательством в Обществе рассчитаны показатели предельных объемов общедомовых услуг по ХВС и ГВС.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общедомовое водоотведение оплата с населения не взимается и оплату производит Общество.</w:t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821"/>
        <w:gridCol w:w="1780"/>
      </w:tblGrid>
      <w:tr w:rsidR="002E6B60" w:rsidTr="002E6B60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E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общего пользования, 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электроэнергии на общедомовые нужды, кВт/м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общедомовые нужды, м3 всего</w:t>
            </w:r>
          </w:p>
        </w:tc>
      </w:tr>
      <w:tr w:rsidR="002E6B60" w:rsidTr="002E6B60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B60" w:rsidTr="002E6B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22 473,40</w:t>
            </w:r>
          </w:p>
        </w:tc>
      </w:tr>
    </w:tbl>
    <w:p w:rsidR="002E6B60" w:rsidRDefault="002E6B60" w:rsidP="002E6B6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канализации, как правило, по вине жителей часть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расходов воды Общество берет на свой счет. Все эти показатели указываются в ежемесячных платежных документах. </w:t>
      </w:r>
    </w:p>
    <w:p w:rsidR="002E6B60" w:rsidRDefault="002E6B60" w:rsidP="002E6B60">
      <w:pPr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2013 году Обществом за счет прибыли было оплачено 596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воды и 596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водоотведения. Всего 33 400 руб.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Кроме того, для полива дворовой территории и зеленых насаждений используются специальные трубопроводы, имеющие счетчики, учтенные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Водоканал, и на эти показания водоотведение не начисляется.</w:t>
      </w: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E6B60" w:rsidRDefault="002E6B60" w:rsidP="002E6B6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Электроснабжение домов осуществляется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через ВРУ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дома, расположенные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электрощитовом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помещении. Балансовое разграничение между Обществом и электроснабжающей организацией установлено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ВРУ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жилых домов на наконечниках вводного кабеля 0,4 кВт. Все сети и подстанции на территории первого микрорайона переданы в собственность города Ростова-на-Дону и Обществом не обслуживаются.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Донэнерго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», Обществом заключен договор с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Ростовэнергосбыт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» № 10648 от 23.03.2010 года на поставку электроэнергии в жилую застройку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Стоимость 1 кВт электроэнергии определяется решением Региональной службы по тарифам. С сентября 2013 года при расчете энергопотребления используются социальные нормы потребления. Тарифы на 2013 год размещены на сайте Общества.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светодиодные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службы. Все эти показатели указываются в ежемесячных платежных документах.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  <w:proofErr w:type="gramEnd"/>
    </w:p>
    <w:p w:rsidR="002E6B60" w:rsidRDefault="002E6B60" w:rsidP="002E6B60">
      <w:pPr>
        <w:suppressAutoHyphens/>
        <w:spacing w:after="0" w:line="240" w:lineRule="auto"/>
        <w:ind w:left="-1276" w:firstLine="127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tbl>
      <w:tblPr>
        <w:tblW w:w="9411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821"/>
        <w:gridCol w:w="1780"/>
      </w:tblGrid>
      <w:tr w:rsidR="002E6B60" w:rsidTr="002E6B60">
        <w:trPr>
          <w:trHeight w:val="630"/>
        </w:trPr>
        <w:tc>
          <w:tcPr>
            <w:tcW w:w="30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помещений общего пользования,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по электроэнергии на общедомовые нужды, кВт/м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общедомовые нужды, м3 всего</w:t>
            </w:r>
          </w:p>
        </w:tc>
      </w:tr>
      <w:tr w:rsidR="002E6B60" w:rsidTr="002E6B60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6B60" w:rsidTr="002E6B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11 236,70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B60" w:rsidRDefault="002E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B60" w:rsidRDefault="002E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22 473,40</w:t>
            </w:r>
          </w:p>
        </w:tc>
      </w:tr>
    </w:tbl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превышение установленной нормы общедомовых расходов электроэнергии оплату производит Общество. Так в 2013 году Обществом было оплачено 5 863 квт/ч электроэнергии, что составило 15 947 руб. Эти средства изымаются из прибыли Общества.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Дворовое освещение является зоной ответственности городских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структур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его оплата жильцами не производится.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Дом в каждом подъезде оборудован двумя лифтами: пассажирским и грузопассажирским. Всего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установлены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работоспособны 14 лифтов. На всех лифтах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согласно графиков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выполняются 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Техническое обслуживание лифтов осуществляет ООО «ОТИС Лифт»,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Кроме того сигнал о состоянии лифтов отображается на дисплее. Все лифты находятся под постоянным надзором и контролем.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Ежедневно дважды утром и вечером производится проверка двухсторонней связи лифт – диспетчер. При нарушении указанной связи меры принимаются незамедлительно. 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Несмотря на принимаемые меры по обеспечению безопасности граждан в 2013 году отмечено 4 случая остановки лифтов, в трех случаях из-за повышенной вибрации и шума при движении лифта,  и в одном случае из-за отказа механизма открытия дверей в 3-м подъезде. Срок прибытия аварийной служб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ы ООО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«ОТИС Лифт» составил не более 30 минут, что соответствует нормативным требованиям.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связи с конструктивными особенностями при включении пассажирских лифтов обнаружилась проблема - сильный посторонний звук при движении лифта. УК совместно с ООО «ОТИС-Лифт» была направлена рекламация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завод-изготовитель.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последствии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были проведены доработки на лифтах, однако полностью не устранено. Практически еженедельно механик вынужден проводить профилактические работы с целью устранения посторонних звуков.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совместно с руководством «ОТИС-Лифт» организовано круглосуточное дежурство механика эксплуатирующей организации для оперативности при устранении неисправностей и остановках лифтов.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переаттестованы, застрахованы от несчастного случая – требование службы надзора за техническим состоянием объектов повышенной опасности выполнены в полном объеме.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Основными недостатками при эксплуатации лифтового оборудования были: тряска, повышенный шум грузопассажирского лифта во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, 2 и 7 подъездах, выход из строя кнопки вызова пассажирского лифта 4 подъезде, задержка в закрытии и открытии дверей грузопассажирского лифта 3 подъезда, замена ламп освещения во всех лифтах, кратковременное нарушение двусторонней связи в пассажирском лифте 1 подъезда, при остановке лифта образование ступеньки между кабиной и полом и др.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недостатки устранялись своевременно, вывода лифтов из эксплуатации по причине технического состояния не отмечено, простоя лифтов не было.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1.5.Сбор и вывоз твердых бытовых отходов и крупногабаритного мусора.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на площадке вне красных линий микрорайона. Контейнерная площадка, используемая для установки контейнеров, оборудована твердым покрытием (плитами),  территория содержится в надлежащем санитарном состоянии.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Договор на сбор и вывоз ТБО и КГМ от 20.11.2013 № 164 заключен с ООО «Радуга». Нарушение сроков вывоза контейнеров не выявлено.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1.6.Содержание дворовой территории, благоустройство и озеленение территории.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Содержанием дворовой территории занимается служба благоустройства, уборки дворовой территории, возглавляемая Мозговым Г.В. Уборку дворовой территории обеспечивают 2 дворника, при этом в летнее время дополнительно привлекаются работники для выкоса газоном во всех микрорайонах.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Содержание внутридворовой территории отвечает санитарным нормам,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находится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должном уровне. Однако в 2013 году были замечания по уборке контейнерной площадки, газонов с южной стороны дома, тротуаров с южной стороны дома. 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Уборка дворовой территории производится своевременно, выкос сорной травы «амброзия» производился постоянно, не допуская образование семян. Газоны содержались на должном уровне, не было допущено увеличения высоты травянистой растительности выше 15 см.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Содержание детской площадки соответствует стандартам обслуживания, замена кресел  на качелях для маленьких детей производилась своевременно, песок в детские песочница в основном завозился своевременно.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Механизированная уборка проезжей части и вывоз снега, требует наличия специального транспорта, приобретение которого для Общества в условиях существующего тарифа и неплатежей жильцов становится невозможным. В существующий тариф механизированная уборка дворовой территории не заложена. 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2014 году Общество планирует организовать работу по содержанию внутридворовой территории с учетом недостатков, имевших место в 2013 году, провести подсев газонной травы в местах выгорания, заменить пропавшие деревья. Особое внимание будет уделено озеленению, посадке цветов и кустарников, своевременному и достаточному поливу, своевременной и полной уборке тротуаров и пешеходных дорожек от снега и наледи.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подряда.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2013 году были высажены: 3-туи, 4-куста можжевельника взамен пропавшим.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Весной и летом проводилась обработка тротуаров гербицидами от прорастания на них сорняков. Полив газонов и клумб проводился регулярно.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1.7.Содержание внутридомовой территории (мест общего пользования), работа консьержей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радиаторов, электрощитов, пожарных шкафов, перил 1 раз в месяц, удаление локальных загрязнений со стен по мере необходимости.  В доме 2 уборщика, убирались все подъезды. Уборщики включены в службу благоустройства и уборки дворовой территории и МОП. Отвечает за качество уборки начальник службы Мозгов Г.В.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Руководством Общества принимались меры постоянного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качеством уборки. В 2013 году в период массовых ремонтов в квартирах отмечено большое количество жалоб на некачественную уборку МОП. В результате проведенных организационно-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щтатных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мероприятий качество уборки внутридомовой территории МОП значительно улучшилась.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Обществом разработаны должностные обязанности консьержей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нормативными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Однако работа с консьержами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их работой проводится не на должном уровне. Имелись случаи отсутствия отдельных консьержей на рабочих местах во время, не установленное должностной инструкцией, грубого отношения с жильцами, невыполнение просьб жильцов, несвоевременной передачи заявок жильцов в ОДС и др.  У Общества и жителей имеются замечания по организации пропуска посторонних людей в подъезды.</w:t>
      </w:r>
    </w:p>
    <w:p w:rsidR="002E6B60" w:rsidRDefault="002E6B60" w:rsidP="002E6B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всем случаям нарушений проводились служебные расследования и в случае необходимости – дисциплинарное наказание. Увольнений не было, однако была переведена в другой дом консьерж 5 подъезда по причине взаимоотношений с жильцами.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Руководителями консьержей администратором  Тимченко Ю.В., во главе со старшим администратором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Каменюкиной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Н.В., организован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работой  консьержей в соответствии с должностной инструкцией и требованиями руководства Общества. Однако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основная информация о работе консьержей поступает от жильцов. 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2014 году основное внимание будет уделено качеству предоставляемых услуг консьержами по обеспечению комфортного проживания жильцов. </w:t>
      </w:r>
    </w:p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Финансово-экономическая работа. Исполнение бюджета дома.</w:t>
      </w:r>
    </w:p>
    <w:p w:rsidR="002E6B60" w:rsidRDefault="002E6B60" w:rsidP="002E6B6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Финансово-экономическая работа организована в соответствии с законодательством, нормативными документами, Уставом Общества и руководящими документами ЗАО «ПАТРИОТ». Бюджет дома исполнен в полном объеме</w:t>
      </w:r>
    </w:p>
    <w:p w:rsidR="002E6B60" w:rsidRDefault="002E6B60" w:rsidP="002E6B6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Итоги исполнения  бюджета, расходов и доходов ЗАО «ПАТРИОТ-Сервис» в 2013 году.</w:t>
      </w:r>
    </w:p>
    <w:tbl>
      <w:tblPr>
        <w:tblW w:w="112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684"/>
        <w:gridCol w:w="3188"/>
        <w:gridCol w:w="642"/>
        <w:gridCol w:w="522"/>
        <w:gridCol w:w="708"/>
        <w:gridCol w:w="1069"/>
        <w:gridCol w:w="42"/>
        <w:gridCol w:w="54"/>
        <w:gridCol w:w="1150"/>
        <w:gridCol w:w="114"/>
        <w:gridCol w:w="1051"/>
        <w:gridCol w:w="396"/>
        <w:gridCol w:w="1165"/>
      </w:tblGrid>
      <w:tr w:rsidR="002E6B60" w:rsidTr="002E6B60">
        <w:trPr>
          <w:gridAfter w:val="1"/>
          <w:wAfter w:w="1164" w:type="dxa"/>
          <w:trHeight w:val="660"/>
        </w:trPr>
        <w:tc>
          <w:tcPr>
            <w:tcW w:w="10095" w:type="dxa"/>
            <w:gridSpan w:val="13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ул. Еременко, 101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60" w:rsidTr="002E6B60">
        <w:trPr>
          <w:gridAfter w:val="1"/>
          <w:wAfter w:w="1164" w:type="dxa"/>
          <w:trHeight w:val="330"/>
        </w:trPr>
        <w:tc>
          <w:tcPr>
            <w:tcW w:w="85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Задолженность за содержание и ремонт общего имущества на 01.01.2013г. составила,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</w:tr>
      <w:tr w:rsidR="002E6B60" w:rsidTr="002E6B60">
        <w:trPr>
          <w:gridAfter w:val="1"/>
          <w:wAfter w:w="1164" w:type="dxa"/>
          <w:trHeight w:val="138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оплачиваемой площади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2013 г.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331 358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297 946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416 467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269 228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242 081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349 350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62 130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55 865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67 117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254 435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228 780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345 512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242 601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218 139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332 728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общего пользования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11 834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12 784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8 876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7 981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8 876</w:t>
            </w:r>
          </w:p>
        </w:tc>
      </w:tr>
      <w:tr w:rsidR="002E6B60" w:rsidTr="002E6B60">
        <w:trPr>
          <w:gridAfter w:val="1"/>
          <w:wAfter w:w="1164" w:type="dxa"/>
          <w:trHeight w:val="91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текущий ремонт конструктивных элементов, инженерных сетей, тепл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электро-, общедомовых приборов учета и другого оборудования)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1 502 944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1 351 399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1 676 101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366 860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329 869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396 310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718 928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646 437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854 303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79 881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71 826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86 293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68 047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61 185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73 509</w:t>
            </w:r>
          </w:p>
        </w:tc>
      </w:tr>
      <w:tr w:rsidR="002E6B60" w:rsidTr="002E6B60">
        <w:trPr>
          <w:gridAfter w:val="1"/>
          <w:wAfter w:w="1164" w:type="dxa"/>
          <w:trHeight w:val="46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внутридомовых теплосетей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29 586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31 960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180 472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162 274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180 472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29 586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26 627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29 586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26 627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384 612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345 830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312 929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5 917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5 325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17 751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15 961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15 976</w:t>
            </w:r>
          </w:p>
        </w:tc>
      </w:tr>
      <w:tr w:rsidR="002E6B60" w:rsidTr="002E6B60">
        <w:trPr>
          <w:gridAfter w:val="1"/>
          <w:wAfter w:w="1164" w:type="dxa"/>
          <w:trHeight w:val="28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434 907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391 054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391 416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763 306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686 340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824 580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1 073 954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965 665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1 160 165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3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4 754 393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4 274 997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5 136 046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480 228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85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1 489 662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1 339 456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1 629 727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150 504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85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01.01.2013г. составила, руб.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3 793 972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3 411 417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4 034 490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1 824 728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1 640 737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1 824 728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(ГВС, ХВС, Водоотведение)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978 656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879 976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1 203 227</w:t>
            </w:r>
          </w:p>
        </w:tc>
      </w:tr>
      <w:tr w:rsidR="002E6B60" w:rsidTr="002E6B60">
        <w:trPr>
          <w:gridAfter w:val="1"/>
          <w:wAfter w:w="1164" w:type="dxa"/>
          <w:trHeight w:val="2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990 587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890 704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1 006 534</w:t>
            </w:r>
          </w:p>
        </w:tc>
      </w:tr>
      <w:tr w:rsidR="002E6B60" w:rsidTr="002E6B60">
        <w:trPr>
          <w:gridAfter w:val="1"/>
          <w:wAfter w:w="1164" w:type="dxa"/>
          <w:trHeight w:val="240"/>
        </w:trPr>
        <w:tc>
          <w:tcPr>
            <w:tcW w:w="853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31.12.2013г. составила, руб.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382 555</w:t>
            </w:r>
          </w:p>
        </w:tc>
      </w:tr>
      <w:tr w:rsidR="002E6B60" w:rsidTr="002E6B60">
        <w:trPr>
          <w:gridAfter w:val="1"/>
          <w:wAfter w:w="1164" w:type="dxa"/>
          <w:trHeight w:val="435"/>
        </w:trPr>
        <w:tc>
          <w:tcPr>
            <w:tcW w:w="10095" w:type="dxa"/>
            <w:gridSpan w:val="13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ИТОГО произведенные расходы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общего имущества, услуги консьержей и обслуживание домофона.</w:t>
            </w:r>
          </w:p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E6B60" w:rsidTr="002E6B60">
        <w:trPr>
          <w:gridBefore w:val="2"/>
          <w:wBefore w:w="1164" w:type="dxa"/>
          <w:trHeight w:val="225"/>
        </w:trPr>
        <w:tc>
          <w:tcPr>
            <w:tcW w:w="43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 фактически произведенные расходы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6 765 773</w:t>
            </w:r>
          </w:p>
        </w:tc>
        <w:tc>
          <w:tcPr>
            <w:tcW w:w="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60" w:rsidTr="002E6B60">
        <w:trPr>
          <w:gridBefore w:val="2"/>
          <w:wBefore w:w="1164" w:type="dxa"/>
          <w:trHeight w:val="225"/>
        </w:trPr>
        <w:tc>
          <w:tcPr>
            <w:tcW w:w="43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3 885 640</w:t>
            </w:r>
          </w:p>
        </w:tc>
        <w:tc>
          <w:tcPr>
            <w:tcW w:w="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60" w:rsidTr="002E6B60">
        <w:trPr>
          <w:gridBefore w:val="2"/>
          <w:wBefore w:w="1164" w:type="dxa"/>
          <w:trHeight w:val="225"/>
        </w:trPr>
        <w:tc>
          <w:tcPr>
            <w:tcW w:w="43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консьержей и обслуживание домофонов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1 232 959</w:t>
            </w:r>
          </w:p>
        </w:tc>
        <w:tc>
          <w:tcPr>
            <w:tcW w:w="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60" w:rsidTr="002E6B60">
        <w:trPr>
          <w:gridBefore w:val="2"/>
          <w:wBefore w:w="1164" w:type="dxa"/>
          <w:trHeight w:val="240"/>
        </w:trPr>
        <w:tc>
          <w:tcPr>
            <w:tcW w:w="43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тчисления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1 647 174</w:t>
            </w:r>
          </w:p>
        </w:tc>
        <w:tc>
          <w:tcPr>
            <w:tcW w:w="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B60" w:rsidTr="002E6B60">
        <w:trPr>
          <w:gridAfter w:val="1"/>
          <w:wAfter w:w="1164" w:type="dxa"/>
          <w:trHeight w:val="735"/>
        </w:trPr>
        <w:tc>
          <w:tcPr>
            <w:tcW w:w="10095" w:type="dxa"/>
            <w:gridSpan w:val="13"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фактические затраты, произведенные ЗАО "ПАТРИОТ-Сервис" по содержанию и техническому обслуживанию МКД по ул. Еременко, 101, превышают произведенные начисления на 1,76 руб. с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оплачиваемой площади помещений МКД.</w:t>
            </w:r>
          </w:p>
        </w:tc>
      </w:tr>
      <w:tr w:rsidR="002E6B60" w:rsidTr="002E6B60">
        <w:trPr>
          <w:gridAfter w:val="1"/>
          <w:wAfter w:w="1164" w:type="dxa"/>
          <w:trHeight w:val="555"/>
        </w:trPr>
        <w:tc>
          <w:tcPr>
            <w:tcW w:w="10095" w:type="dxa"/>
            <w:gridSpan w:val="13"/>
            <w:hideMark/>
          </w:tcPr>
          <w:p w:rsidR="002E6B60" w:rsidRDefault="002E6B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Левенцовский.</w:t>
            </w:r>
          </w:p>
        </w:tc>
      </w:tr>
    </w:tbl>
    <w:p w:rsidR="002E6B60" w:rsidRDefault="002E6B60" w:rsidP="002E6B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E6B60" w:rsidRDefault="002E6B60" w:rsidP="002E6B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 и содержанию инженерного оборудования и систем.</w:t>
      </w:r>
    </w:p>
    <w:p w:rsidR="002E6B60" w:rsidRDefault="002E6B60" w:rsidP="002E6B60">
      <w:pPr>
        <w:ind w:left="-142" w:right="-1" w:firstLine="70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Работа по техническому обслуживанию и содержанию инженерного оборудования и систем организована в соответствии с Правилами эксплуатации многоквартирных домов и других нормативных документов</w:t>
      </w:r>
    </w:p>
    <w:p w:rsidR="002E6B60" w:rsidRDefault="002E6B60" w:rsidP="002E6B60">
      <w:pP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pPr w:leftFromText="180" w:rightFromText="180" w:bottomFromText="200" w:vertAnchor="page" w:horzAnchor="margin" w:tblpXSpec="center" w:tblpY="2581"/>
        <w:tblW w:w="9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6"/>
        <w:gridCol w:w="4507"/>
        <w:gridCol w:w="1134"/>
        <w:gridCol w:w="1134"/>
        <w:gridCol w:w="1700"/>
        <w:gridCol w:w="1134"/>
      </w:tblGrid>
      <w:tr w:rsidR="002E6B60" w:rsidTr="002E6B60"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№/п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Ед.изм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Кол-во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Дата выполнения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Примечание</w:t>
            </w:r>
          </w:p>
          <w:p w:rsidR="002E6B60" w:rsidRDefault="002E6B60">
            <w:pPr>
              <w:pStyle w:val="a7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Технические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осмотры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ind w:left="3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Осмотр инженерных сетей в чердачных и подвальных помещениях (запорной </w:t>
            </w:r>
            <w:proofErr w:type="spellStart"/>
            <w:r>
              <w:rPr>
                <w:rFonts w:cs="Times New Roman"/>
                <w:lang w:val="ru-RU"/>
              </w:rPr>
              <w:t>арматуры</w:t>
            </w:r>
            <w:proofErr w:type="gramStart"/>
            <w:r>
              <w:rPr>
                <w:rFonts w:cs="Times New Roman"/>
                <w:lang w:val="ru-RU"/>
              </w:rPr>
              <w:t>,т</w:t>
            </w:r>
            <w:proofErr w:type="gramEnd"/>
            <w:r>
              <w:rPr>
                <w:rFonts w:cs="Times New Roman"/>
                <w:lang w:val="ru-RU"/>
              </w:rPr>
              <w:t>рубопроводов</w:t>
            </w:r>
            <w:proofErr w:type="spellEnd"/>
            <w:r>
              <w:rPr>
                <w:rFonts w:cs="Times New Roman"/>
                <w:lang w:val="ru-RU"/>
              </w:rPr>
              <w:t>, электроустановок)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1000кв.м.здания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2,77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Апрель</w:t>
            </w:r>
            <w:proofErr w:type="spellEnd"/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Октябрь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Осмотр сетей водопровода, канализации, системы отопления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/км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Осмотр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внутреннего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водостока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Март, ноябрь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Осмотр технического состояния электрических вводных распределительных устройств жилых и нежилых помещений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Июнь, декабрь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Осмотр технического состояния </w:t>
            </w:r>
            <w:proofErr w:type="spellStart"/>
            <w:r>
              <w:rPr>
                <w:rFonts w:cs="Times New Roman"/>
                <w:lang w:val="ru-RU"/>
              </w:rPr>
              <w:t>индивидуальнго</w:t>
            </w:r>
            <w:proofErr w:type="spellEnd"/>
            <w:r>
              <w:rPr>
                <w:rFonts w:cs="Times New Roman"/>
                <w:lang w:val="ru-RU"/>
              </w:rPr>
              <w:t xml:space="preserve"> теплового пункта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Апрель, июль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Осмотр технического состояния водяной насосной станции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Май, сентябрь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весенне-осеннего осмотра жилого дома и прилегающей территории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апрель,октябрь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Осмотр и ремонт дверей входных групп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Отопление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  <w:p w:rsidR="002E6B60" w:rsidRDefault="002E6B60">
            <w:pPr>
              <w:pStyle w:val="a7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Замена кранов в тепловых рамках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июнь</w:t>
            </w:r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Промывка теплообменников системы отопления без разборки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Промывка трубопроводов и тепловых рамок и отстойников системы отопления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/км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 w:eastAsia="fa-IR" w:bidi="fa-IR"/>
              </w:rPr>
            </w:pPr>
            <w:r>
              <w:rPr>
                <w:rFonts w:cs="Times New Roman"/>
                <w:lang w:val="ru-RU"/>
              </w:rPr>
              <w:t>Ревизия  запорной арматуры в тепловых рамках и ИТП</w:t>
            </w:r>
          </w:p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  <w:p w:rsidR="002E6B60" w:rsidRDefault="002E6B60">
            <w:pPr>
              <w:pStyle w:val="a7"/>
              <w:spacing w:line="276" w:lineRule="auto"/>
              <w:rPr>
                <w:rFonts w:cs="Times New Roman"/>
                <w:lang w:val="ru-RU"/>
              </w:rPr>
            </w:pPr>
          </w:p>
          <w:p w:rsidR="002E6B60" w:rsidRDefault="002E6B60">
            <w:pPr>
              <w:pStyle w:val="a7"/>
              <w:spacing w:line="276" w:lineRule="auto"/>
              <w:rPr>
                <w:rFonts w:cs="Times New Roman"/>
                <w:lang w:val="ru-RU"/>
              </w:rPr>
            </w:pPr>
          </w:p>
          <w:p w:rsidR="002E6B60" w:rsidRDefault="002E6B60">
            <w:pPr>
              <w:pStyle w:val="a7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Опресовка</w:t>
            </w:r>
            <w:proofErr w:type="spellEnd"/>
            <w:r>
              <w:rPr>
                <w:rFonts w:cs="Times New Roman"/>
                <w:lang w:val="ru-RU"/>
              </w:rPr>
              <w:t xml:space="preserve"> запорной арматуры системы отопления и водоснабжения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ru-RU"/>
              </w:rPr>
              <w:t>шт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Ревизия дренажных насосов ИТП, ВНС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Гидравлические  </w:t>
            </w:r>
            <w:proofErr w:type="spellStart"/>
            <w:r>
              <w:rPr>
                <w:rFonts w:cs="Times New Roman"/>
                <w:lang w:val="ru-RU"/>
              </w:rPr>
              <w:t>испыпание</w:t>
            </w:r>
            <w:proofErr w:type="spellEnd"/>
            <w:r>
              <w:rPr>
                <w:rFonts w:cs="Times New Roman"/>
                <w:lang w:val="ru-RU"/>
              </w:rPr>
              <w:t xml:space="preserve"> трубопроводов  системы  отопления для </w:t>
            </w:r>
            <w:r>
              <w:rPr>
                <w:rFonts w:cs="Times New Roman"/>
                <w:lang w:val="ru-RU"/>
              </w:rPr>
              <w:lastRenderedPageBreak/>
              <w:t>сдачи инспектору тепловых сетей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п./</w:t>
            </w:r>
            <w:proofErr w:type="gramStart"/>
            <w:r>
              <w:rPr>
                <w:rFonts w:cs="Times New Roman"/>
                <w:lang w:val="ru-RU"/>
              </w:rPr>
              <w:t>км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Ревизия и регулировка оборудования в тепловых пунктах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июль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Ремонт </w:t>
            </w:r>
            <w:proofErr w:type="spellStart"/>
            <w:r>
              <w:rPr>
                <w:rFonts w:cs="Times New Roman"/>
                <w:lang w:val="ru-RU"/>
              </w:rPr>
              <w:t>отпления</w:t>
            </w:r>
            <w:proofErr w:type="spellEnd"/>
            <w:r>
              <w:rPr>
                <w:rFonts w:cs="Times New Roman"/>
                <w:lang w:val="ru-RU"/>
              </w:rPr>
              <w:t xml:space="preserve"> в лестничной клетке в подъездах № 3, 6, 7.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м/</w:t>
            </w: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технического  состояния общедомового оборудования системы отопления и ГВС.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октябрь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Снятия и обработка показаний УУТЭ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>проведения анализа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узел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ежедневно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Сдача отчётности по УУТЭ в </w:t>
            </w:r>
            <w:proofErr w:type="spellStart"/>
            <w:r>
              <w:rPr>
                <w:rFonts w:cs="Times New Roman"/>
                <w:lang w:val="ru-RU"/>
              </w:rPr>
              <w:t>ресуросснабжающую</w:t>
            </w:r>
            <w:proofErr w:type="spellEnd"/>
            <w:r>
              <w:rPr>
                <w:rFonts w:cs="Times New Roman"/>
                <w:lang w:val="ru-RU"/>
              </w:rPr>
              <w:t xml:space="preserve"> организацию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ежемесячно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Допуск УУТЭ в коммерческую эксплуатацию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Октябрь,апрель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и замена манометров в тепловых рамках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Закрытие продухов технического подполья для его утепления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16 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Замена манометров в тепловых рамках управления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Система ГВС и ХВС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>канализации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Ремонт водопроводных затворов без снятия  с места по </w:t>
            </w:r>
            <w:proofErr w:type="spellStart"/>
            <w:r>
              <w:rPr>
                <w:rFonts w:cs="Times New Roman"/>
                <w:lang w:val="ru-RU"/>
              </w:rPr>
              <w:t>техподполью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Устранение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засоров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выпусков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Очистка и промывка фильтров холодного водоснабжения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Регулировка </w:t>
            </w:r>
            <w:proofErr w:type="spellStart"/>
            <w:r>
              <w:rPr>
                <w:rFonts w:cs="Times New Roman"/>
                <w:lang w:val="ru-RU"/>
              </w:rPr>
              <w:t>програмного</w:t>
            </w:r>
            <w:proofErr w:type="spellEnd"/>
            <w:r>
              <w:rPr>
                <w:rFonts w:cs="Times New Roman"/>
                <w:lang w:val="ru-RU"/>
              </w:rPr>
              <w:t xml:space="preserve"> обеспечения горячего водоснабжения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Промывка теплообменников системы горячего водоснабжения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Устройство отдельного водопровода для поливки газонов придомовой территории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м/</w:t>
            </w: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7 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Замена кранов «Маевского» на </w:t>
            </w:r>
            <w:proofErr w:type="spellStart"/>
            <w:r>
              <w:rPr>
                <w:rFonts w:cs="Times New Roman"/>
                <w:lang w:val="ru-RU"/>
              </w:rPr>
              <w:t>автосбросники</w:t>
            </w:r>
            <w:proofErr w:type="spellEnd"/>
            <w:r>
              <w:rPr>
                <w:rFonts w:cs="Times New Roman"/>
                <w:lang w:val="ru-RU"/>
              </w:rPr>
              <w:t xml:space="preserve"> с кранами.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Уборка </w:t>
            </w:r>
            <w:proofErr w:type="spellStart"/>
            <w:r>
              <w:rPr>
                <w:rFonts w:cs="Times New Roman"/>
                <w:lang w:val="ru-RU"/>
              </w:rPr>
              <w:t>техподполья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Прфилактическое</w:t>
            </w:r>
            <w:proofErr w:type="spellEnd"/>
            <w:r>
              <w:rPr>
                <w:rFonts w:cs="Times New Roman"/>
                <w:lang w:val="ru-RU"/>
              </w:rPr>
              <w:t xml:space="preserve"> обслуживание щитов </w:t>
            </w:r>
            <w:r>
              <w:rPr>
                <w:rFonts w:cs="Times New Roman"/>
                <w:lang w:val="ru-RU"/>
              </w:rPr>
              <w:lastRenderedPageBreak/>
              <w:t xml:space="preserve">управления </w:t>
            </w:r>
            <w:proofErr w:type="spellStart"/>
            <w:r>
              <w:rPr>
                <w:rFonts w:cs="Times New Roman"/>
                <w:lang w:val="ru-RU"/>
              </w:rPr>
              <w:t>электроустройств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ru-RU"/>
              </w:rPr>
              <w:lastRenderedPageBreak/>
              <w:t>шт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сентябрь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Замена вышедших из строя </w:t>
            </w:r>
            <w:proofErr w:type="spellStart"/>
            <w:r>
              <w:rPr>
                <w:rFonts w:cs="Times New Roman"/>
                <w:lang w:val="ru-RU"/>
              </w:rPr>
              <w:t>электроустановочных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изделей</w:t>
            </w:r>
            <w:proofErr w:type="spellEnd"/>
            <w:r>
              <w:rPr>
                <w:rFonts w:cs="Times New Roman"/>
                <w:lang w:val="ru-RU"/>
              </w:rPr>
              <w:t xml:space="preserve">  в местах общего пользования (выключателей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cs="Times New Roman"/>
                <w:lang w:val="ru-RU"/>
              </w:rPr>
              <w:t>эл.патронов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Замена предохранителей в общедомовых  </w:t>
            </w:r>
            <w:proofErr w:type="spellStart"/>
            <w:r>
              <w:rPr>
                <w:rFonts w:cs="Times New Roman"/>
                <w:lang w:val="ru-RU"/>
              </w:rPr>
              <w:t>эл</w:t>
            </w:r>
            <w:proofErr w:type="gramStart"/>
            <w:r>
              <w:rPr>
                <w:rFonts w:cs="Times New Roman"/>
                <w:lang w:val="ru-RU"/>
              </w:rPr>
              <w:t>.щ</w:t>
            </w:r>
            <w:proofErr w:type="gramEnd"/>
            <w:r>
              <w:rPr>
                <w:rFonts w:cs="Times New Roman"/>
                <w:lang w:val="ru-RU"/>
              </w:rPr>
              <w:t>итовых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Протяжка контактов в водных распределительных устройствах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1щиток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Июнь, ноябрь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Смена </w:t>
            </w:r>
            <w:proofErr w:type="spellStart"/>
            <w:r>
              <w:rPr>
                <w:rFonts w:cs="Times New Roman"/>
                <w:lang w:val="ru-RU"/>
              </w:rPr>
              <w:t>эл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ампочек</w:t>
            </w:r>
            <w:proofErr w:type="spellEnd"/>
            <w:r>
              <w:rPr>
                <w:rFonts w:cs="Times New Roman"/>
                <w:lang w:val="ru-RU"/>
              </w:rPr>
              <w:t xml:space="preserve"> освещения мест общего пользования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Осмотр линий электрических сетей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>арматуры и электрооборудования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февраль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Снятие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электросчетчиков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14/548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ежемесячно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КРОВЛЯ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внутреннего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водоотведения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межпанельный швов (по заявкам)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Апрель, май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</w:rPr>
              <w:t>Содержание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и благоустройство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Выкашивание газонов, высаживание и уход за  цветами, полив, внесение удобрений на газоны, побелка деревьев. Подсев травы на газоны, обрезка кустарника, обработка тротуаров спец. растворо</w:t>
            </w:r>
            <w:proofErr w:type="gramStart"/>
            <w:r>
              <w:rPr>
                <w:rFonts w:cs="Times New Roman"/>
                <w:lang w:val="ru-RU"/>
              </w:rPr>
              <w:t>м(</w:t>
            </w:r>
            <w:proofErr w:type="gramEnd"/>
            <w:r>
              <w:rPr>
                <w:rFonts w:cs="Times New Roman"/>
                <w:lang w:val="ru-RU"/>
              </w:rPr>
              <w:t>от прорастания травы)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кв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 – октябрь.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входов в подъезд.</w:t>
            </w:r>
          </w:p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Замена стеклопакетов.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</w:t>
            </w:r>
          </w:p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Засыпка газонов чернозёмом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Кв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Ремант</w:t>
            </w:r>
            <w:proofErr w:type="spellEnd"/>
            <w:r>
              <w:rPr>
                <w:rFonts w:cs="Times New Roman"/>
                <w:lang w:val="ru-RU"/>
              </w:rPr>
              <w:t xml:space="preserve"> провалов грунта на детской площадки и проезжей части </w:t>
            </w:r>
            <w:proofErr w:type="gramStart"/>
            <w:r>
              <w:rPr>
                <w:rFonts w:cs="Times New Roman"/>
                <w:lang w:val="ru-RU"/>
              </w:rPr>
              <w:t>на против</w:t>
            </w:r>
            <w:proofErr w:type="gramEnd"/>
            <w:r>
              <w:rPr>
                <w:rFonts w:cs="Times New Roman"/>
                <w:lang w:val="ru-RU"/>
              </w:rPr>
              <w:t xml:space="preserve"> 4 подъезда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Кв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Охранно-пожарная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сигнализация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Считывание и исправление ошибок головного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автоматики системы вентиляции и подпора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автоматики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отпирания эвакуационных выходов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пожарного водопровода и пожарных насосов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Июнь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Система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охраны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вызывных панелей и ключевых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коммутаторов и блоков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E6B60" w:rsidTr="002E6B6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0" w:rsidRDefault="002E6B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B60" w:rsidRDefault="002E6B60">
            <w:pPr>
              <w:pStyle w:val="a7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>
            <w:pPr>
              <w:pStyle w:val="a7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6B60" w:rsidRDefault="002E6B60" w:rsidP="002E6B60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4. Организация работы по обращениям и жалобам граждан и юридических лиц.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с обращениями и жалобами жителей микрорайонов «Левенцовский»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>остановления Правительства РФ от 6 мая 2011 года № 354 и Постановления Правительства РФ от 23 сентября 2010 года № 731.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Администрация ЗАО «ПАТРИОТ-Сервис» считает работу с обращениями и жалобами граждан  и юридических лиц одной из приоритетных, поскольку квалифицированная, своевременная   и постоянная работа в этом направлении способствует повышению   качества  предоставляемых  услуг,  улучшению взаимопонимания и взаимоотношений  между гражданами и  управляющей компании.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За 2013 год  в ЗАО «ПАТРИОТ-Сервис»  поступило 513 обращений и жалоб от граждан и юридических лиц (организаций),  из них: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письменных обращений и жалоб – 319;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в сети интернет на сайт компании и на форум жителей микрорайона- 84;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устных, телефонных обращений - 110.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Поступившие заявления (обращения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носят следующий характер: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-замена сантехнического оборудования -145;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-перерасчет за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оказанные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услуги-35;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окон, дверей- 183;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домофона – 43;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-по вопросам работы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лифтового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оборудования-22;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образовавшейся задолженности по платежам, начисление платежей-30;</w:t>
      </w:r>
    </w:p>
    <w:p w:rsidR="002E6B60" w:rsidRDefault="002E6B60" w:rsidP="002E6B6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Из общего количества поступивших заявлений и обращений от граждан и юридических лиц на находящихся по адресу улица  Еременко,101  за 2013 год поступило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28 заявление</w:t>
      </w:r>
    </w:p>
    <w:p w:rsidR="002E6B60" w:rsidRDefault="002E6B60" w:rsidP="002E6B6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Данные обращения носили следующий характер:</w:t>
      </w:r>
    </w:p>
    <w:p w:rsidR="002E6B60" w:rsidRDefault="002E6B60" w:rsidP="002E6B6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-замена сантехнического оборудования -7;</w:t>
      </w:r>
    </w:p>
    <w:p w:rsidR="002E6B60" w:rsidRDefault="002E6B60" w:rsidP="002E6B6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-перерасчет за не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оказанные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услуги-6;</w:t>
      </w:r>
    </w:p>
    <w:p w:rsidR="002E6B60" w:rsidRDefault="002E6B60" w:rsidP="002E6B6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-регулировка окон, дверей- 4;</w:t>
      </w:r>
    </w:p>
    <w:p w:rsidR="002E6B60" w:rsidRDefault="002E6B60" w:rsidP="002E6B6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-регулировка домофона – 4;</w:t>
      </w:r>
    </w:p>
    <w:p w:rsidR="002E6B60" w:rsidRDefault="002E6B60" w:rsidP="002E6B6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-по вопросам работы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лифтового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оборудования-3;</w:t>
      </w:r>
    </w:p>
    <w:p w:rsidR="002E6B60" w:rsidRDefault="002E6B60" w:rsidP="002E6B60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-по вопросам образовавшейся задолженности по платежам, начисление платежей-4;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Из общего количества обращений 511 обращений рассмотрены в срок и  установленным порядком заявителям   направлены письменные  ответы. 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Имеются 4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повторных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обращения, что является свидетельством некачественной подготовки ответа и не решении поставленного вопроса, на 2 обращения  ответы даны не были. Причиной явилось неисполнение должностными лицами своих непосредственных обязанностей. По всем случаям указанных нарушений проведены служебные расследования, виновные привлечены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различного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рода наказаниям и дисциплинарным взысканиям.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В целях организации качественной работы по обращениям и жалобам жителей домов проводятся следующие мероприятия:</w:t>
      </w:r>
    </w:p>
    <w:p w:rsidR="002E6B60" w:rsidRDefault="002E6B60" w:rsidP="002E6B60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-Еженедельный анализ проводимой работы с докладом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на планерном совещании.</w:t>
      </w:r>
    </w:p>
    <w:p w:rsidR="002E6B60" w:rsidRDefault="002E6B60" w:rsidP="002E6B60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-Постоянный контроль сроков подготовки ответов на обращения граждан.</w:t>
      </w:r>
    </w:p>
    <w:p w:rsidR="002E6B60" w:rsidRDefault="002E6B60" w:rsidP="002E6B60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-Контроль качества подготовки ответов.</w:t>
      </w:r>
    </w:p>
    <w:p w:rsidR="002E6B60" w:rsidRDefault="002E6B60" w:rsidP="002E6B60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-Ежемесячное подведение итогов проводимой работы с разбором случаев нарушения.</w:t>
      </w:r>
    </w:p>
    <w:p w:rsidR="002E6B60" w:rsidRDefault="002E6B60" w:rsidP="002E6B60">
      <w:pPr>
        <w:pStyle w:val="a5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-Наказание виновных в некачественной работе по ответам гражданам.</w:t>
      </w:r>
    </w:p>
    <w:p w:rsidR="002E6B60" w:rsidRDefault="002E6B60" w:rsidP="002E6B60">
      <w:pPr>
        <w:pStyle w:val="a5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6B60" w:rsidRDefault="002E6B60" w:rsidP="002E6B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6B60" w:rsidRDefault="002E6B60" w:rsidP="002E6B6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организована в соответствии с требованием регламентирующих документов. Серьезных замечаний по работе службы не отмечено. Обществом в 2013 году увеличен штат на одного человека, что значительно улучшило работу службы.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документов.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5744"/>
        <w:gridCol w:w="2489"/>
      </w:tblGrid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/снято с регистрационного учета   (чел.)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Отработана 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Заведено 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2E6B60" w:rsidTr="002E6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60" w:rsidRDefault="002E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</w:tbl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6B60" w:rsidRDefault="002E6B60" w:rsidP="002E6B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 с задолжниками в ЗАО «ПАТРИОТ-Сервис» организована в соответствии с Постановлением Правительства РФ от 06 мая 2011 года № 354  и Жилищного Кодекса РФ.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 xml:space="preserve">Данное направление работы является стратегически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важным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так как финансовые средства, необходимые для расчетов за потребленные коммунальные услуги, предоставляемые гражданам ресурсоснабжающими организациями; для выплаты заработной платы сотрудникам управляющей компании за выполненную работу по содержанию общедомового имущества, за содержание дворовой территории в надлежащем состоянии, другие коммунальные услуги, средства на уплату налогов в бюджеты различного уровня ЗАО «ПАТРИОТ-Сервис» получает в виде ежемесячных платежей от граждан, проживающих в многоквартирных домах, находящихся в управлении Общества. Других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>я обеспечения стабильной  работы управляющей компании нет.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С каждым собственником, имеющим жилое или нежилое помещение в домах Левенцовского микрорайона, заключен договор на управление многоквартирным домом, в котором прописаны права и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2E6B60" w:rsidRDefault="002E6B60" w:rsidP="002E6B60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Так  на 01.01.2013 года просроченная  задолженность по оплате услуг  составила  </w:t>
      </w:r>
      <w:r>
        <w:rPr>
          <w:rFonts w:ascii="Times New Roman" w:hAnsi="Times New Roman" w:cs="Times New Roman"/>
          <w:bCs/>
          <w:sz w:val="24"/>
          <w:szCs w:val="24"/>
          <w:lang w:eastAsia="zh-CN" w:bidi="en-US"/>
        </w:rPr>
        <w:t>5 745 006,88</w:t>
      </w: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рублей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из них 771884,04 рублей  просроченная задолженности по улице Еременко,101.</w:t>
      </w:r>
    </w:p>
    <w:p w:rsidR="002E6B60" w:rsidRDefault="002E6B60" w:rsidP="002E6B60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 период с 01.01.2013 года по 31.12.2013года было направлено  4000 уведомлений о наличии задолженности и установлен месячный срок на  ее погашение, из них более 150 уведомления по улице Еременко,101, более  2500 было  направлено  3-х  дневных уведомлений  о приостановление подачи  коммунальных услуг, из них  более 100 по улице Еременко,101 ,за этот же период  было произведено 2000 ограничений подачи</w:t>
      </w:r>
      <w:proofErr w:type="gramEnd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коммунальных услуг потребителям должникам, из них 60 по ул. Еременко 101.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Большое внимание уделяется  досудебной работе с потребителями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>олжниками. Особое место в этой работе занимают телефонные переговоры с собственниками,  которые способствуют урегулированию  имеющихся вопросов и скорейшему погашению задолженности, что позволяет сократить расходы на оплату государственной пошлины и сократить срок возврата задолженности.</w:t>
      </w: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За 2013 год в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судебном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прядке было взыскано 175 000 рублей  с потребителей должников.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en-US"/>
        </w:rPr>
        <w:t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малообеспеченным семьям.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Работа с должниками по возмещению заработанных Обществом финансовых средств будет продолжена и в дальнейшем.</w:t>
      </w:r>
    </w:p>
    <w:p w:rsidR="002E6B60" w:rsidRDefault="002E6B60" w:rsidP="002E6B60">
      <w:pPr>
        <w:pStyle w:val="a6"/>
        <w:ind w:left="0" w:firstLine="708"/>
      </w:pPr>
      <w:r>
        <w:rPr>
          <w:rFonts w:ascii="Times New Roman" w:hAnsi="Times New Roman"/>
          <w:sz w:val="24"/>
          <w:szCs w:val="24"/>
        </w:rPr>
        <w:t xml:space="preserve">За 2013 год ЗАО «ПАТРИОТ-Сервис» участвовало в 12 судебных </w:t>
      </w:r>
      <w:proofErr w:type="gramStart"/>
      <w:r>
        <w:rPr>
          <w:rFonts w:ascii="Times New Roman" w:hAnsi="Times New Roman"/>
          <w:sz w:val="24"/>
          <w:szCs w:val="24"/>
        </w:rPr>
        <w:t>заседаниях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: в 6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являлось ответчиком, в 6 являлось истцом.  Основным направлением обращения в суд в качестве истца  являлось взыскание задолженности с потребителей должников. По  всем делам  вынесены решения  в пользу ЗАО «ПАТРИОТ-Сервис».</w:t>
      </w:r>
    </w:p>
    <w:p w:rsidR="002E6B60" w:rsidRDefault="002E6B60" w:rsidP="002E6B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Результаты проверок надзорными органами в 2013 году</w:t>
      </w:r>
    </w:p>
    <w:p w:rsidR="002E6B60" w:rsidRDefault="002E6B60" w:rsidP="002E6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6B60" w:rsidRDefault="002E6B60" w:rsidP="002E6B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проводились следующие плановые проверки: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-Жилищной инспекции Ростовской области в декабре 2013 года. По проверяемым вопросам широкого охвата от  организации управления домами до тарифов и состояния домов - нарушений не выявлено.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-Инспекцией по труду в декабре 2013 года. Выявлены нарушения в организации медицинских осмотров работников отдельных специальностей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кодекса), в проведении стажировок вновь принятых работников на рабочих местах.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-внутренний аудит ГК Интеко в период октябрь 2013 года. Выявлены нарушения внутренней работы в Обществе, связанные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-аудиторская проверка в период июль-август 2013 года. Нецелевого использования финансовых средств не выявлено. Работа признана удовлетворительной.</w:t>
      </w:r>
    </w:p>
    <w:p w:rsidR="002E6B60" w:rsidRDefault="002E6B60" w:rsidP="002E6B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процессе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7F128C" w:rsidRDefault="002E6B60" w:rsidP="002E6B60">
      <w:r>
        <w:rPr>
          <w:rFonts w:ascii="Times New Roman" w:hAnsi="Times New Roman" w:cs="Times New Roman"/>
          <w:sz w:val="24"/>
          <w:szCs w:val="24"/>
        </w:rPr>
        <w:tab/>
        <w:t>Системных нарушений в организации работы ЗАО «ПАТРИОТ-Сервис», нарушения законодательства не отмечено, в целом Общество стабильное и финансово устойчивое, осуществляет управление многоквартирными домами планомерно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  <w:bookmarkStart w:id="0" w:name="_GoBack"/>
      <w:bookmarkEnd w:id="0"/>
    </w:p>
    <w:sectPr w:rsidR="007F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1BD8"/>
    <w:multiLevelType w:val="multilevel"/>
    <w:tmpl w:val="D388AC90"/>
    <w:styleLink w:val="WWNum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60"/>
    <w:rsid w:val="002E6B60"/>
    <w:rsid w:val="007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6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6B60"/>
    <w:pPr>
      <w:spacing w:after="0" w:line="240" w:lineRule="auto"/>
    </w:pPr>
  </w:style>
  <w:style w:type="paragraph" w:styleId="a6">
    <w:name w:val="List Paragraph"/>
    <w:basedOn w:val="a"/>
    <w:qFormat/>
    <w:rsid w:val="002E6B60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2E6B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2E6B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2E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2E6B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6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6B60"/>
    <w:pPr>
      <w:spacing w:after="0" w:line="240" w:lineRule="auto"/>
    </w:pPr>
  </w:style>
  <w:style w:type="paragraph" w:styleId="a6">
    <w:name w:val="List Paragraph"/>
    <w:basedOn w:val="a"/>
    <w:qFormat/>
    <w:rsid w:val="002E6B60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2E6B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2E6B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2E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2E6B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5115</Words>
  <Characters>29159</Characters>
  <Application>Microsoft Office Word</Application>
  <DocSecurity>0</DocSecurity>
  <Lines>242</Lines>
  <Paragraphs>68</Paragraphs>
  <ScaleCrop>false</ScaleCrop>
  <Company/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1</cp:revision>
  <dcterms:created xsi:type="dcterms:W3CDTF">2015-02-27T10:07:00Z</dcterms:created>
  <dcterms:modified xsi:type="dcterms:W3CDTF">2015-02-27T10:07:00Z</dcterms:modified>
</cp:coreProperties>
</file>